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D02" w:rsidRDefault="009E6D02">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E6D02" w:rsidRDefault="009E6D02">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071B9F">
        <w:rPr>
          <w:rFonts w:cs="Arial"/>
          <w:b/>
          <w:bCs/>
        </w:rPr>
        <w:t xml:space="preserve">17 December 2015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416788">
        <w:rPr>
          <w:rFonts w:cs="Arial"/>
          <w:b/>
          <w:bCs/>
        </w:rPr>
        <w:t xml:space="preserve">Director of </w:t>
      </w:r>
      <w:r w:rsidR="00071B9F" w:rsidRPr="009439D8">
        <w:rPr>
          <w:rFonts w:cs="Arial"/>
          <w:b/>
          <w:bCs/>
        </w:rPr>
        <w:t xml:space="preserve">Regeneration and </w:t>
      </w:r>
      <w:r w:rsidR="00416788">
        <w:rPr>
          <w:rFonts w:cs="Arial"/>
          <w:b/>
          <w:bCs/>
        </w:rPr>
        <w:t>Housing</w:t>
      </w:r>
      <w:r w:rsidR="00071B9F">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071B9F">
        <w:rPr>
          <w:rFonts w:cs="Arial"/>
          <w:b/>
          <w:bCs/>
        </w:rPr>
        <w:t>Asset Management Plan 2016-</w:t>
      </w:r>
      <w:r w:rsidR="007F55E0">
        <w:rPr>
          <w:rFonts w:cs="Arial"/>
          <w:b/>
          <w:bCs/>
        </w:rPr>
        <w:t>20</w:t>
      </w:r>
      <w:r w:rsidR="00071B9F">
        <w:rPr>
          <w:rFonts w:cs="Arial"/>
          <w:b/>
          <w:bCs/>
        </w:rPr>
        <w:t>20</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071B9F">
        <w:t>To obtain approval by CEB to the Asset Management Plan 2015-2020 prior to public consultation</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i/>
        </w:rPr>
        <w:t xml:space="preserve">Yes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071B9F" w:rsidRPr="00071B9F">
        <w:rPr>
          <w:rFonts w:cs="Arial"/>
          <w:bCs/>
        </w:rPr>
        <w:t>Councillor Ed Turner</w:t>
      </w:r>
      <w:r w:rsidR="007F55E0">
        <w:rPr>
          <w:rFonts w:cs="Arial"/>
          <w:bCs/>
        </w:rPr>
        <w:t>, Executive Board Member 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071B9F"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071B9F" w:rsidRPr="00071B9F">
        <w:rPr>
          <w:rFonts w:cs="Arial"/>
          <w:bCs/>
        </w:rPr>
        <w:t xml:space="preserve">Key Policy Framework document linked to all </w:t>
      </w:r>
      <w:proofErr w:type="gramStart"/>
      <w:r w:rsidR="00071B9F" w:rsidRPr="00071B9F">
        <w:rPr>
          <w:rFonts w:cs="Arial"/>
          <w:bCs/>
        </w:rPr>
        <w:t>Corporate</w:t>
      </w:r>
      <w:proofErr w:type="gramEnd"/>
      <w:r w:rsidR="00071B9F" w:rsidRPr="00071B9F">
        <w:rPr>
          <w:rFonts w:cs="Arial"/>
          <w:bCs/>
        </w:rPr>
        <w:t xml:space="preserve"> priorities</w:t>
      </w:r>
      <w:r w:rsidR="00817CBB">
        <w:rPr>
          <w:rFonts w:cs="Arial"/>
          <w:bCs/>
        </w:rPr>
        <w:t>.</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071B9F" w:rsidRDefault="00F4367A" w:rsidP="00071B9F">
      <w:pPr>
        <w:pBdr>
          <w:top w:val="single" w:sz="4" w:space="1" w:color="auto"/>
          <w:left w:val="single" w:sz="4" w:space="4" w:color="auto"/>
          <w:bottom w:val="single" w:sz="4" w:space="1" w:color="auto"/>
          <w:right w:val="single" w:sz="4" w:space="4" w:color="auto"/>
        </w:pBdr>
        <w:rPr>
          <w:rFonts w:cs="Arial"/>
        </w:rPr>
      </w:pPr>
      <w:r>
        <w:rPr>
          <w:rFonts w:cs="Arial"/>
          <w:b/>
        </w:rPr>
        <w:t xml:space="preserve">Recommendation(s): </w:t>
      </w:r>
      <w:r w:rsidR="007F55E0" w:rsidRPr="006F0665">
        <w:rPr>
          <w:rFonts w:cs="Arial"/>
        </w:rPr>
        <w:t>T</w:t>
      </w:r>
      <w:r w:rsidR="007F55E0" w:rsidRPr="00B66615">
        <w:rPr>
          <w:rFonts w:cs="Arial"/>
        </w:rPr>
        <w:t>hat the City Executive Board resolves to a</w:t>
      </w:r>
      <w:r w:rsidR="00071B9F" w:rsidRPr="00071B9F">
        <w:rPr>
          <w:rFonts w:cs="Arial"/>
        </w:rPr>
        <w:t>pprov</w:t>
      </w:r>
      <w:r w:rsidR="007F55E0">
        <w:rPr>
          <w:rFonts w:cs="Arial"/>
        </w:rPr>
        <w:t>e</w:t>
      </w:r>
      <w:r w:rsidR="00071B9F" w:rsidRPr="00071B9F">
        <w:rPr>
          <w:rFonts w:cs="Arial"/>
        </w:rPr>
        <w:t xml:space="preserve"> the Asset Management Plan 2016-</w:t>
      </w:r>
      <w:r w:rsidR="007F55E0">
        <w:rPr>
          <w:rFonts w:cs="Arial"/>
        </w:rPr>
        <w:t>20</w:t>
      </w:r>
      <w:r w:rsidR="00071B9F" w:rsidRPr="00071B9F">
        <w:rPr>
          <w:rFonts w:cs="Arial"/>
        </w:rPr>
        <w:t xml:space="preserve">20 for </w:t>
      </w:r>
      <w:r w:rsidR="00416788">
        <w:rPr>
          <w:rFonts w:cs="Arial"/>
        </w:rPr>
        <w:t>c</w:t>
      </w:r>
      <w:r w:rsidR="00071B9F" w:rsidRPr="00071B9F">
        <w:rPr>
          <w:rFonts w:cs="Arial"/>
        </w:rPr>
        <w:t>onsultation</w:t>
      </w:r>
      <w:r w:rsidR="00416788">
        <w:rPr>
          <w:rFonts w:cs="Arial"/>
        </w:rPr>
        <w:t>.</w:t>
      </w:r>
      <w:bookmarkStart w:id="0" w:name="_GoBack"/>
      <w:bookmarkEnd w:id="0"/>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071B9F" w:rsidRDefault="00713675">
      <w:pPr>
        <w:rPr>
          <w:rFonts w:cs="Arial"/>
        </w:rPr>
      </w:pPr>
      <w:r w:rsidRPr="007B6E54">
        <w:rPr>
          <w:rFonts w:cs="Arial"/>
          <w:b/>
        </w:rPr>
        <w:t>Appendices</w:t>
      </w:r>
      <w:r>
        <w:rPr>
          <w:rFonts w:cs="Arial"/>
        </w:rPr>
        <w:t xml:space="preserve"> to report </w:t>
      </w:r>
    </w:p>
    <w:p w:rsidR="00B66615" w:rsidRDefault="00B66615">
      <w:pPr>
        <w:rPr>
          <w:rFonts w:cs="Arial"/>
        </w:rPr>
      </w:pPr>
    </w:p>
    <w:p w:rsidR="00071B9F" w:rsidRDefault="00071B9F">
      <w:pPr>
        <w:rPr>
          <w:rFonts w:cs="Arial"/>
        </w:rPr>
      </w:pPr>
      <w:r>
        <w:rPr>
          <w:rFonts w:cs="Arial"/>
        </w:rPr>
        <w:t xml:space="preserve">Appendix 1 </w:t>
      </w:r>
      <w:r w:rsidR="00B66615">
        <w:rPr>
          <w:rFonts w:cs="Arial"/>
        </w:rPr>
        <w:tab/>
      </w:r>
      <w:r>
        <w:rPr>
          <w:rFonts w:cs="Arial"/>
        </w:rPr>
        <w:t>Asset Management Plan 2016-</w:t>
      </w:r>
      <w:r w:rsidR="007F55E0">
        <w:rPr>
          <w:rFonts w:cs="Arial"/>
        </w:rPr>
        <w:t>20</w:t>
      </w:r>
      <w:r>
        <w:rPr>
          <w:rFonts w:cs="Arial"/>
        </w:rPr>
        <w:t>20</w:t>
      </w:r>
    </w:p>
    <w:p w:rsidR="00071B9F" w:rsidRDefault="00071B9F" w:rsidP="00B66615">
      <w:pPr>
        <w:ind w:left="1440" w:hanging="1440"/>
        <w:rPr>
          <w:rFonts w:cs="Arial"/>
        </w:rPr>
      </w:pPr>
      <w:r>
        <w:rPr>
          <w:rFonts w:cs="Arial"/>
        </w:rPr>
        <w:t xml:space="preserve">Appendix 2 </w:t>
      </w:r>
      <w:r w:rsidR="00B66615">
        <w:rPr>
          <w:rFonts w:cs="Arial"/>
        </w:rPr>
        <w:tab/>
      </w:r>
      <w:r>
        <w:rPr>
          <w:rFonts w:cs="Arial"/>
        </w:rPr>
        <w:t>Asset Management Plan on a Page 2016-</w:t>
      </w:r>
      <w:r w:rsidR="007F55E0">
        <w:rPr>
          <w:rFonts w:cs="Arial"/>
        </w:rPr>
        <w:t>20</w:t>
      </w:r>
      <w:r>
        <w:rPr>
          <w:rFonts w:cs="Arial"/>
        </w:rPr>
        <w:t>20</w:t>
      </w:r>
      <w:r w:rsidR="00B66615">
        <w:rPr>
          <w:rFonts w:cs="Arial"/>
        </w:rPr>
        <w:t xml:space="preserve"> </w:t>
      </w:r>
    </w:p>
    <w:p w:rsidR="007B6E54" w:rsidRDefault="007B6E54">
      <w:pPr>
        <w:rPr>
          <w:rFonts w:cs="Arial"/>
          <w:i/>
        </w:rPr>
      </w:pPr>
    </w:p>
    <w:p w:rsidR="0032698C" w:rsidRDefault="0032698C">
      <w:pPr>
        <w:rPr>
          <w:rFonts w:cs="Arial"/>
          <w:i/>
        </w:rPr>
      </w:pPr>
    </w:p>
    <w:p w:rsidR="0032698C" w:rsidRDefault="0032698C">
      <w:pPr>
        <w:rPr>
          <w:rFonts w:cs="Arial"/>
          <w:i/>
        </w:rPr>
      </w:pPr>
    </w:p>
    <w:p w:rsidR="0032698C" w:rsidRDefault="0032698C">
      <w:pPr>
        <w:rPr>
          <w:rFonts w:cs="Arial"/>
          <w:i/>
        </w:rPr>
      </w:pPr>
    </w:p>
    <w:p w:rsidR="006E3B55" w:rsidRDefault="006E3B55">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7B6E54" w:rsidRDefault="007B6E54">
      <w:pPr>
        <w:rPr>
          <w:rFonts w:cs="Arial"/>
          <w:b/>
        </w:rPr>
      </w:pPr>
      <w:r>
        <w:rPr>
          <w:rFonts w:cs="Arial"/>
          <w:b/>
        </w:rPr>
        <w:t>Background</w:t>
      </w:r>
    </w:p>
    <w:p w:rsidR="00071B9F" w:rsidRDefault="00071B9F">
      <w:pPr>
        <w:rPr>
          <w:rFonts w:cs="Arial"/>
          <w:b/>
        </w:rPr>
      </w:pPr>
    </w:p>
    <w:p w:rsidR="00071B9F" w:rsidRPr="00E220FB" w:rsidRDefault="00071B9F" w:rsidP="00071B9F"/>
    <w:p w:rsidR="00071B9F" w:rsidRPr="00A83701" w:rsidRDefault="00071B9F" w:rsidP="007F55E0">
      <w:pPr>
        <w:pStyle w:val="ListParagraph"/>
        <w:keepNext/>
        <w:numPr>
          <w:ilvl w:val="0"/>
          <w:numId w:val="6"/>
        </w:numPr>
        <w:ind w:left="360"/>
      </w:pPr>
      <w:r w:rsidRPr="00A83701">
        <w:t>The new Asset Management Plan (AMP), when adopted will supersede the existing 2011-2014 plan, which was approved by the Council in October 2012 and the 2015 single year refresh plan approved in November 2014.</w:t>
      </w:r>
    </w:p>
    <w:p w:rsidR="00071B9F" w:rsidRDefault="00071B9F" w:rsidP="007F55E0">
      <w:pPr>
        <w:keepNext/>
        <w:rPr>
          <w:rFonts w:cs="Arial"/>
        </w:rPr>
      </w:pPr>
    </w:p>
    <w:p w:rsidR="00071B9F" w:rsidRPr="00A83701" w:rsidRDefault="00071B9F" w:rsidP="007F55E0">
      <w:pPr>
        <w:pStyle w:val="ListParagraph"/>
        <w:keepNext/>
        <w:numPr>
          <w:ilvl w:val="0"/>
          <w:numId w:val="6"/>
        </w:numPr>
        <w:ind w:left="360"/>
      </w:pPr>
      <w:r w:rsidRPr="00A83701">
        <w:t>The main purpose of this plan is to set out the Council’s objectives, priorities, programme, performance and risks in relation to its land and buildings.</w:t>
      </w:r>
    </w:p>
    <w:p w:rsidR="00071B9F" w:rsidRDefault="00071B9F" w:rsidP="007F55E0">
      <w:pPr>
        <w:pStyle w:val="ListParagraph"/>
        <w:ind w:left="360"/>
      </w:pPr>
    </w:p>
    <w:p w:rsidR="00071B9F" w:rsidRPr="007F55E0" w:rsidRDefault="00071B9F" w:rsidP="007F55E0">
      <w:pPr>
        <w:keepNext/>
        <w:ind w:left="360"/>
      </w:pPr>
      <w:r w:rsidRPr="007F55E0">
        <w:t>It also:</w:t>
      </w:r>
    </w:p>
    <w:p w:rsidR="00071B9F" w:rsidRDefault="00071B9F" w:rsidP="007F55E0">
      <w:pPr>
        <w:pStyle w:val="ListParagraph"/>
        <w:numPr>
          <w:ilvl w:val="0"/>
          <w:numId w:val="7"/>
        </w:numPr>
      </w:pPr>
      <w:r w:rsidRPr="00F35867">
        <w:t>provides a clear statement of direction for other external stakeholders;</w:t>
      </w:r>
    </w:p>
    <w:p w:rsidR="00071B9F" w:rsidRDefault="00071B9F" w:rsidP="007F55E0">
      <w:pPr>
        <w:pStyle w:val="ListParagraph"/>
        <w:numPr>
          <w:ilvl w:val="0"/>
          <w:numId w:val="7"/>
        </w:numPr>
      </w:pPr>
      <w:proofErr w:type="gramStart"/>
      <w:r>
        <w:t>identifie</w:t>
      </w:r>
      <w:r w:rsidRPr="00F35867">
        <w:t>s</w:t>
      </w:r>
      <w:proofErr w:type="gramEnd"/>
      <w:r>
        <w:t xml:space="preserve"> to the public</w:t>
      </w:r>
      <w:r w:rsidRPr="00F35867">
        <w:t xml:space="preserve"> the way the Council will deal with its land and buildings in the short and medium term. </w:t>
      </w:r>
    </w:p>
    <w:p w:rsidR="00071B9F" w:rsidRPr="00F35867" w:rsidRDefault="00071B9F" w:rsidP="007F55E0">
      <w:pPr>
        <w:pStyle w:val="ListParagraph"/>
        <w:ind w:left="360"/>
      </w:pPr>
    </w:p>
    <w:p w:rsidR="00071B9F" w:rsidRPr="007F55E0" w:rsidRDefault="007F55E0" w:rsidP="007F55E0">
      <w:pPr>
        <w:pStyle w:val="ListParagraph"/>
        <w:numPr>
          <w:ilvl w:val="0"/>
          <w:numId w:val="6"/>
        </w:numPr>
        <w:ind w:left="360"/>
        <w:jc w:val="both"/>
        <w:rPr>
          <w:rFonts w:eastAsia="Calibri"/>
        </w:rPr>
      </w:pPr>
      <w:r>
        <w:rPr>
          <w:rFonts w:eastAsia="Calibri"/>
        </w:rPr>
        <w:t>T</w:t>
      </w:r>
      <w:r w:rsidR="00071B9F" w:rsidRPr="007F55E0">
        <w:rPr>
          <w:rFonts w:eastAsia="Calibri"/>
        </w:rPr>
        <w:t>he Council’s Corporate Plan provides the leadership and vision of building on its strengths to become a ‘World Class City for everyone’.</w:t>
      </w:r>
    </w:p>
    <w:p w:rsidR="00071B9F" w:rsidRPr="00142C2E" w:rsidRDefault="00071B9F" w:rsidP="007F55E0">
      <w:pPr>
        <w:jc w:val="both"/>
        <w:rPr>
          <w:rFonts w:eastAsia="Calibri" w:cs="Arial"/>
        </w:rPr>
      </w:pPr>
    </w:p>
    <w:p w:rsidR="00071B9F" w:rsidRPr="007F55E0" w:rsidRDefault="00071B9F" w:rsidP="007F55E0">
      <w:pPr>
        <w:pStyle w:val="ListParagraph"/>
        <w:numPr>
          <w:ilvl w:val="0"/>
          <w:numId w:val="6"/>
        </w:numPr>
        <w:ind w:left="360"/>
        <w:jc w:val="both"/>
        <w:rPr>
          <w:rFonts w:eastAsia="Calibri"/>
        </w:rPr>
      </w:pPr>
      <w:r w:rsidRPr="007F55E0">
        <w:rPr>
          <w:rFonts w:eastAsia="Calibri"/>
        </w:rPr>
        <w:t>This vision and direction is at the core of the new Asset Management Plan and it flows through to create a series of Property Objectives, Action Plans, Risk Management Strategies and Performance Targets to drive property portfolio delivery.</w:t>
      </w:r>
    </w:p>
    <w:p w:rsidR="00071B9F" w:rsidRPr="00142C2E" w:rsidRDefault="00071B9F" w:rsidP="007F55E0">
      <w:pPr>
        <w:jc w:val="both"/>
        <w:rPr>
          <w:rFonts w:eastAsia="Calibri" w:cs="Arial"/>
        </w:rPr>
      </w:pPr>
    </w:p>
    <w:p w:rsidR="00071B9F" w:rsidRPr="007F55E0" w:rsidRDefault="00071B9F" w:rsidP="007F55E0">
      <w:pPr>
        <w:pStyle w:val="ListParagraph"/>
        <w:numPr>
          <w:ilvl w:val="0"/>
          <w:numId w:val="6"/>
        </w:numPr>
        <w:ind w:left="360"/>
        <w:jc w:val="both"/>
        <w:rPr>
          <w:rFonts w:eastAsia="Calibri"/>
        </w:rPr>
      </w:pPr>
      <w:r w:rsidRPr="007F55E0">
        <w:rPr>
          <w:rFonts w:eastAsia="Calibri"/>
        </w:rPr>
        <w:t>The Plan has been developed through extensive consultation with Members, Service Heads and Senior Council Managers alongside a review of market, economic and budgetary impacts on Oxford.</w:t>
      </w:r>
    </w:p>
    <w:p w:rsidR="00071B9F" w:rsidRPr="00142C2E" w:rsidRDefault="00071B9F" w:rsidP="007F55E0">
      <w:pPr>
        <w:jc w:val="both"/>
        <w:rPr>
          <w:rFonts w:eastAsia="Calibri" w:cs="Arial"/>
        </w:rPr>
      </w:pPr>
    </w:p>
    <w:p w:rsidR="00071B9F" w:rsidRPr="007F55E0" w:rsidRDefault="00071B9F" w:rsidP="007F55E0">
      <w:pPr>
        <w:pStyle w:val="ListParagraph"/>
        <w:numPr>
          <w:ilvl w:val="0"/>
          <w:numId w:val="6"/>
        </w:numPr>
        <w:ind w:left="360"/>
        <w:jc w:val="both"/>
        <w:rPr>
          <w:rFonts w:eastAsia="Calibri"/>
        </w:rPr>
      </w:pPr>
      <w:r w:rsidRPr="007F55E0">
        <w:rPr>
          <w:rFonts w:eastAsia="Calibri"/>
        </w:rPr>
        <w:t xml:space="preserve">Consideration has been given not just to how the Council can manage its property assets but how these can be used to influence the wider environment and economy for the benefit of all the citizens of the City. </w:t>
      </w:r>
    </w:p>
    <w:p w:rsidR="00071B9F" w:rsidRDefault="00071B9F" w:rsidP="00071B9F">
      <w:pPr>
        <w:ind w:left="709" w:hanging="709"/>
        <w:jc w:val="both"/>
        <w:rPr>
          <w:rFonts w:eastAsia="Calibri" w:cs="Arial"/>
        </w:rPr>
      </w:pPr>
    </w:p>
    <w:p w:rsidR="00071B9F" w:rsidRPr="007F55E0" w:rsidRDefault="007F55E0" w:rsidP="007F55E0">
      <w:pPr>
        <w:pStyle w:val="ListParagraph"/>
        <w:numPr>
          <w:ilvl w:val="0"/>
          <w:numId w:val="6"/>
        </w:numPr>
        <w:ind w:left="284" w:hanging="284"/>
        <w:jc w:val="both"/>
        <w:rPr>
          <w:rFonts w:eastAsia="Calibri"/>
        </w:rPr>
      </w:pPr>
      <w:r>
        <w:rPr>
          <w:rFonts w:eastAsia="Calibri"/>
        </w:rPr>
        <w:t xml:space="preserve"> </w:t>
      </w:r>
      <w:r w:rsidR="00071B9F" w:rsidRPr="007F55E0">
        <w:rPr>
          <w:rFonts w:eastAsia="Calibri"/>
        </w:rPr>
        <w:t>Key points of note compared to the previous plans include:</w:t>
      </w:r>
    </w:p>
    <w:p w:rsidR="00071B9F" w:rsidRDefault="00071B9F" w:rsidP="00071B9F">
      <w:pPr>
        <w:ind w:left="709" w:hanging="709"/>
        <w:jc w:val="both"/>
        <w:rPr>
          <w:rFonts w:eastAsia="Calibri" w:cs="Arial"/>
        </w:rPr>
      </w:pPr>
    </w:p>
    <w:p w:rsidR="00071B9F" w:rsidRDefault="00071B9F" w:rsidP="00A83701">
      <w:pPr>
        <w:numPr>
          <w:ilvl w:val="0"/>
          <w:numId w:val="4"/>
        </w:numPr>
        <w:ind w:left="1134" w:hanging="425"/>
        <w:jc w:val="both"/>
        <w:rPr>
          <w:rFonts w:eastAsia="Calibri" w:cs="Arial"/>
        </w:rPr>
      </w:pPr>
      <w:r>
        <w:rPr>
          <w:rFonts w:eastAsia="Calibri" w:cs="Arial"/>
        </w:rPr>
        <w:t>covers General Fund portfolio only, previous plan covered HRA as well;</w:t>
      </w:r>
    </w:p>
    <w:p w:rsidR="00071B9F" w:rsidRPr="00BD5DC5" w:rsidRDefault="00071B9F" w:rsidP="00A83701">
      <w:pPr>
        <w:numPr>
          <w:ilvl w:val="1"/>
          <w:numId w:val="5"/>
        </w:numPr>
        <w:tabs>
          <w:tab w:val="clear" w:pos="1440"/>
          <w:tab w:val="num" w:pos="634"/>
        </w:tabs>
        <w:ind w:left="1134" w:hanging="425"/>
        <w:contextualSpacing/>
        <w:rPr>
          <w:rFonts w:cs="Arial"/>
          <w:lang w:eastAsia="en-GB"/>
        </w:rPr>
      </w:pPr>
      <w:r w:rsidRPr="00BD5DC5">
        <w:rPr>
          <w:rFonts w:cs="Arial"/>
          <w:color w:val="000000"/>
          <w:kern w:val="24"/>
          <w:lang w:eastAsia="en-GB"/>
        </w:rPr>
        <w:t>Incremental development rather than radical change</w:t>
      </w:r>
      <w:r>
        <w:rPr>
          <w:rFonts w:cs="Arial"/>
          <w:color w:val="000000"/>
          <w:kern w:val="24"/>
          <w:lang w:eastAsia="en-GB"/>
        </w:rPr>
        <w:t>;</w:t>
      </w:r>
    </w:p>
    <w:p w:rsidR="00071B9F" w:rsidRPr="002420CB" w:rsidRDefault="00071B9F" w:rsidP="00A83701">
      <w:pPr>
        <w:numPr>
          <w:ilvl w:val="1"/>
          <w:numId w:val="5"/>
        </w:numPr>
        <w:ind w:left="1134" w:hanging="425"/>
        <w:contextualSpacing/>
        <w:rPr>
          <w:rFonts w:cs="Arial"/>
          <w:lang w:eastAsia="en-GB"/>
        </w:rPr>
      </w:pPr>
      <w:r w:rsidRPr="00BD5DC5">
        <w:rPr>
          <w:rFonts w:cs="Arial"/>
          <w:color w:val="000000"/>
          <w:kern w:val="24"/>
          <w:lang w:eastAsia="en-GB"/>
        </w:rPr>
        <w:t>Responds to significant change occu</w:t>
      </w:r>
      <w:r>
        <w:rPr>
          <w:rFonts w:cs="Arial"/>
          <w:color w:val="000000"/>
          <w:kern w:val="24"/>
          <w:lang w:eastAsia="en-GB"/>
        </w:rPr>
        <w:t>r</w:t>
      </w:r>
      <w:r w:rsidRPr="00BD5DC5">
        <w:rPr>
          <w:rFonts w:cs="Arial"/>
          <w:color w:val="000000"/>
          <w:kern w:val="24"/>
          <w:lang w:eastAsia="en-GB"/>
        </w:rPr>
        <w:t>ring in the city e</w:t>
      </w:r>
      <w:r>
        <w:rPr>
          <w:rFonts w:cs="Arial"/>
          <w:color w:val="000000"/>
          <w:kern w:val="24"/>
          <w:lang w:eastAsia="en-GB"/>
        </w:rPr>
        <w:t>.</w:t>
      </w:r>
      <w:r w:rsidRPr="00BD5DC5">
        <w:rPr>
          <w:rFonts w:cs="Arial"/>
          <w:color w:val="000000"/>
          <w:kern w:val="24"/>
          <w:lang w:eastAsia="en-GB"/>
        </w:rPr>
        <w:t>g</w:t>
      </w:r>
      <w:r>
        <w:rPr>
          <w:rFonts w:cs="Arial"/>
          <w:color w:val="000000"/>
          <w:kern w:val="24"/>
          <w:lang w:eastAsia="en-GB"/>
        </w:rPr>
        <w:t>.</w:t>
      </w:r>
      <w:r w:rsidRPr="00BD5DC5">
        <w:rPr>
          <w:rFonts w:cs="Arial"/>
          <w:color w:val="000000"/>
          <w:kern w:val="24"/>
          <w:lang w:eastAsia="en-GB"/>
        </w:rPr>
        <w:t xml:space="preserve"> Westgate, Infrastructure change, Barton, Northern Gateway etc</w:t>
      </w:r>
      <w:r>
        <w:rPr>
          <w:rFonts w:cs="Arial"/>
          <w:color w:val="000000"/>
          <w:kern w:val="24"/>
          <w:lang w:eastAsia="en-GB"/>
        </w:rPr>
        <w:t>.</w:t>
      </w:r>
      <w:r w:rsidRPr="00BD5DC5">
        <w:rPr>
          <w:rFonts w:cs="Arial"/>
          <w:color w:val="000000"/>
          <w:kern w:val="24"/>
          <w:lang w:eastAsia="en-GB"/>
        </w:rPr>
        <w:t xml:space="preserve"> and challenging external environment including government policy changes and impacts on funding through austerity programmes</w:t>
      </w:r>
      <w:r>
        <w:rPr>
          <w:rFonts w:cs="Arial"/>
          <w:color w:val="000000"/>
          <w:kern w:val="24"/>
          <w:lang w:eastAsia="en-GB"/>
        </w:rPr>
        <w:t>;</w:t>
      </w:r>
    </w:p>
    <w:p w:rsidR="00071B9F" w:rsidRPr="00BD5DC5" w:rsidRDefault="00071B9F" w:rsidP="00A83701">
      <w:pPr>
        <w:numPr>
          <w:ilvl w:val="1"/>
          <w:numId w:val="5"/>
        </w:numPr>
        <w:ind w:left="1134" w:hanging="425"/>
        <w:contextualSpacing/>
        <w:rPr>
          <w:rFonts w:cs="Arial"/>
          <w:lang w:eastAsia="en-GB"/>
        </w:rPr>
      </w:pPr>
      <w:r>
        <w:rPr>
          <w:rFonts w:cs="Arial"/>
          <w:color w:val="000000"/>
          <w:kern w:val="24"/>
          <w:lang w:eastAsia="en-GB"/>
        </w:rPr>
        <w:t>No substantial change to portfolio footprint;</w:t>
      </w:r>
    </w:p>
    <w:p w:rsidR="00071B9F" w:rsidRPr="00BD5DC5" w:rsidRDefault="00071B9F" w:rsidP="00A83701">
      <w:pPr>
        <w:numPr>
          <w:ilvl w:val="0"/>
          <w:numId w:val="4"/>
        </w:numPr>
        <w:ind w:left="1134" w:hanging="425"/>
        <w:jc w:val="both"/>
        <w:rPr>
          <w:rFonts w:eastAsia="Calibri" w:cs="Arial"/>
        </w:rPr>
      </w:pPr>
      <w:r>
        <w:rPr>
          <w:rFonts w:eastAsia="Calibri" w:cs="Arial"/>
        </w:rPr>
        <w:t>Provides potential to b</w:t>
      </w:r>
      <w:r w:rsidRPr="00BD5DC5">
        <w:rPr>
          <w:rFonts w:eastAsia="Calibri" w:cs="Arial"/>
        </w:rPr>
        <w:t xml:space="preserve">orrow to invest </w:t>
      </w:r>
      <w:r>
        <w:rPr>
          <w:rFonts w:eastAsia="Calibri" w:cs="Arial"/>
        </w:rPr>
        <w:t>in existing portfolio;</w:t>
      </w:r>
    </w:p>
    <w:p w:rsidR="00071B9F" w:rsidRPr="00BD5DC5" w:rsidRDefault="00071B9F" w:rsidP="00A83701">
      <w:pPr>
        <w:numPr>
          <w:ilvl w:val="0"/>
          <w:numId w:val="4"/>
        </w:numPr>
        <w:ind w:left="1134" w:hanging="425"/>
        <w:jc w:val="both"/>
        <w:rPr>
          <w:rFonts w:eastAsia="Calibri" w:cs="Arial"/>
        </w:rPr>
      </w:pPr>
      <w:r>
        <w:rPr>
          <w:rFonts w:eastAsia="Calibri" w:cs="Arial"/>
        </w:rPr>
        <w:t>Provides potential to undertake</w:t>
      </w:r>
      <w:r w:rsidRPr="00BD5DC5">
        <w:rPr>
          <w:rFonts w:eastAsia="Calibri" w:cs="Arial"/>
        </w:rPr>
        <w:t xml:space="preserve"> asset sales of poorer performing </w:t>
      </w:r>
      <w:proofErr w:type="spellStart"/>
      <w:r w:rsidRPr="00BD5DC5">
        <w:rPr>
          <w:rFonts w:eastAsia="Calibri" w:cs="Arial"/>
        </w:rPr>
        <w:t xml:space="preserve">non </w:t>
      </w:r>
      <w:proofErr w:type="spellEnd"/>
      <w:r w:rsidRPr="00BD5DC5">
        <w:rPr>
          <w:rFonts w:eastAsia="Calibri" w:cs="Arial"/>
        </w:rPr>
        <w:t>core/</w:t>
      </w:r>
      <w:proofErr w:type="spellStart"/>
      <w:r w:rsidRPr="00BD5DC5">
        <w:rPr>
          <w:rFonts w:eastAsia="Calibri" w:cs="Arial"/>
        </w:rPr>
        <w:t>non strategic</w:t>
      </w:r>
      <w:proofErr w:type="spellEnd"/>
      <w:r w:rsidRPr="00BD5DC5">
        <w:rPr>
          <w:rFonts w:eastAsia="Calibri" w:cs="Arial"/>
        </w:rPr>
        <w:t xml:space="preserve"> properties</w:t>
      </w:r>
      <w:r>
        <w:rPr>
          <w:rFonts w:eastAsia="Calibri" w:cs="Arial"/>
        </w:rPr>
        <w:t>;</w:t>
      </w:r>
    </w:p>
    <w:p w:rsidR="00071B9F" w:rsidRPr="00A83701" w:rsidRDefault="00071B9F" w:rsidP="00A83701">
      <w:pPr>
        <w:pStyle w:val="ListParagraph"/>
        <w:numPr>
          <w:ilvl w:val="0"/>
          <w:numId w:val="4"/>
        </w:numPr>
        <w:ind w:left="1134" w:hanging="425"/>
        <w:jc w:val="both"/>
        <w:rPr>
          <w:rFonts w:eastAsia="Calibri"/>
        </w:rPr>
      </w:pPr>
      <w:proofErr w:type="spellStart"/>
      <w:r w:rsidRPr="00A83701">
        <w:rPr>
          <w:rFonts w:eastAsia="Calibri"/>
        </w:rPr>
        <w:t>Ongoing</w:t>
      </w:r>
      <w:proofErr w:type="spellEnd"/>
      <w:r w:rsidRPr="00A83701">
        <w:rPr>
          <w:rFonts w:eastAsia="Calibri"/>
        </w:rPr>
        <w:t xml:space="preserve"> focus on rationalisation/ improved space usage;</w:t>
      </w:r>
    </w:p>
    <w:p w:rsidR="00071B9F" w:rsidRDefault="00071B9F" w:rsidP="00A83701">
      <w:pPr>
        <w:numPr>
          <w:ilvl w:val="0"/>
          <w:numId w:val="4"/>
        </w:numPr>
        <w:ind w:left="1134" w:hanging="425"/>
        <w:jc w:val="both"/>
        <w:rPr>
          <w:rFonts w:eastAsia="Calibri" w:cs="Arial"/>
        </w:rPr>
      </w:pPr>
      <w:r>
        <w:rPr>
          <w:rFonts w:eastAsia="Calibri" w:cs="Arial"/>
        </w:rPr>
        <w:lastRenderedPageBreak/>
        <w:t>An appreciation and acknowledgement of the social benefits delivered by the portfolio</w:t>
      </w:r>
    </w:p>
    <w:p w:rsidR="00071B9F" w:rsidRDefault="00071B9F" w:rsidP="00A83701">
      <w:pPr>
        <w:numPr>
          <w:ilvl w:val="0"/>
          <w:numId w:val="4"/>
        </w:numPr>
        <w:ind w:left="1134" w:hanging="425"/>
        <w:jc w:val="both"/>
        <w:rPr>
          <w:rFonts w:eastAsia="Calibri" w:cs="Arial"/>
        </w:rPr>
      </w:pPr>
      <w:r>
        <w:rPr>
          <w:rFonts w:eastAsia="Calibri" w:cs="Arial"/>
        </w:rPr>
        <w:t>An updated set of Asset Management Protocols</w:t>
      </w:r>
    </w:p>
    <w:p w:rsidR="00071B9F" w:rsidRDefault="00071B9F" w:rsidP="00A83701">
      <w:pPr>
        <w:ind w:left="1134" w:hanging="425"/>
        <w:jc w:val="both"/>
        <w:rPr>
          <w:rFonts w:eastAsia="Calibri" w:cs="Arial"/>
        </w:rPr>
      </w:pPr>
    </w:p>
    <w:p w:rsidR="00071B9F" w:rsidRPr="002420CB" w:rsidRDefault="00071B9F" w:rsidP="009E6D02">
      <w:pPr>
        <w:numPr>
          <w:ilvl w:val="0"/>
          <w:numId w:val="4"/>
        </w:numPr>
        <w:jc w:val="both"/>
        <w:rPr>
          <w:rFonts w:eastAsia="Calibri" w:cs="Arial"/>
        </w:rPr>
      </w:pPr>
      <w:r>
        <w:rPr>
          <w:rFonts w:eastAsia="Calibri" w:cs="Arial"/>
        </w:rPr>
        <w:t xml:space="preserve">These substantively </w:t>
      </w:r>
      <w:r w:rsidRPr="002420CB">
        <w:rPr>
          <w:rFonts w:eastAsia="Calibri" w:cs="Arial"/>
        </w:rPr>
        <w:t xml:space="preserve">follow previous </w:t>
      </w:r>
      <w:r>
        <w:rPr>
          <w:rFonts w:eastAsia="Calibri" w:cs="Arial"/>
        </w:rPr>
        <w:t>version with the following updates:</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Acquisition protocol expanded to cover Compulsory Purchase</w:t>
      </w:r>
      <w:r>
        <w:rPr>
          <w:rFonts w:eastAsia="Calibri" w:cs="Arial"/>
        </w:rPr>
        <w:t xml:space="preserve">, </w:t>
      </w:r>
      <w:r w:rsidRPr="002420CB">
        <w:rPr>
          <w:rFonts w:eastAsia="Calibri" w:cs="Arial"/>
        </w:rPr>
        <w:t>investment/capital spending</w:t>
      </w:r>
      <w:r>
        <w:rPr>
          <w:rFonts w:eastAsia="Calibri" w:cs="Arial"/>
        </w:rPr>
        <w:t xml:space="preserve"> and Planned Maintenance</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Covered Market Leasing Strategy separated from the wider Letting and Tenant mix strategy</w:t>
      </w:r>
    </w:p>
    <w:p w:rsidR="00071B9F" w:rsidRPr="002420CB" w:rsidRDefault="00071B9F" w:rsidP="009E6D02">
      <w:pPr>
        <w:numPr>
          <w:ilvl w:val="2"/>
          <w:numId w:val="4"/>
        </w:numPr>
        <w:ind w:left="2694" w:hanging="426"/>
        <w:jc w:val="both"/>
        <w:rPr>
          <w:rFonts w:eastAsia="Calibri" w:cs="Arial"/>
        </w:rPr>
      </w:pPr>
      <w:r>
        <w:rPr>
          <w:rFonts w:eastAsia="Calibri" w:cs="Arial"/>
        </w:rPr>
        <w:t>Estates shops p</w:t>
      </w:r>
      <w:r w:rsidRPr="002420CB">
        <w:rPr>
          <w:rFonts w:eastAsia="Calibri" w:cs="Arial"/>
        </w:rPr>
        <w:t>rotocol developed to better articulate how these are managed</w:t>
      </w:r>
      <w:r>
        <w:rPr>
          <w:rFonts w:eastAsia="Calibri" w:cs="Arial"/>
        </w:rPr>
        <w:t xml:space="preserve"> following their transfer to General Fund.</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Restrictive covenants articulates the revised policy developed since previous plan</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Health and safety protocol introduced</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Community lettings protocol allow</w:t>
      </w:r>
      <w:r>
        <w:rPr>
          <w:rFonts w:eastAsia="Calibri" w:cs="Arial"/>
        </w:rPr>
        <w:t>s</w:t>
      </w:r>
      <w:r w:rsidRPr="002420CB">
        <w:rPr>
          <w:rFonts w:eastAsia="Calibri" w:cs="Arial"/>
        </w:rPr>
        <w:t xml:space="preserve"> for improved flexibility and innovation</w:t>
      </w:r>
    </w:p>
    <w:p w:rsidR="00071B9F" w:rsidRDefault="00071B9F" w:rsidP="009E6D02">
      <w:pPr>
        <w:numPr>
          <w:ilvl w:val="2"/>
          <w:numId w:val="4"/>
        </w:numPr>
        <w:ind w:left="2694" w:hanging="426"/>
        <w:jc w:val="both"/>
        <w:rPr>
          <w:rFonts w:eastAsia="Calibri" w:cs="Arial"/>
        </w:rPr>
      </w:pPr>
      <w:r>
        <w:rPr>
          <w:rFonts w:eastAsia="Calibri" w:cs="Arial"/>
        </w:rPr>
        <w:t>‘</w:t>
      </w:r>
      <w:r w:rsidRPr="002420CB">
        <w:rPr>
          <w:rFonts w:eastAsia="Calibri" w:cs="Arial"/>
        </w:rPr>
        <w:t>Property subsidisation</w:t>
      </w:r>
      <w:r>
        <w:rPr>
          <w:rFonts w:eastAsia="Calibri" w:cs="Arial"/>
        </w:rPr>
        <w:t>’</w:t>
      </w:r>
      <w:r w:rsidRPr="002420CB">
        <w:rPr>
          <w:rFonts w:eastAsia="Calibri" w:cs="Arial"/>
        </w:rPr>
        <w:t xml:space="preserve"> and </w:t>
      </w:r>
      <w:r>
        <w:rPr>
          <w:rFonts w:eastAsia="Calibri" w:cs="Arial"/>
        </w:rPr>
        <w:t>‘</w:t>
      </w:r>
      <w:r w:rsidRPr="002420CB">
        <w:rPr>
          <w:rFonts w:eastAsia="Calibri" w:cs="Arial"/>
        </w:rPr>
        <w:t>Equalities and diversity</w:t>
      </w:r>
      <w:r>
        <w:rPr>
          <w:rFonts w:eastAsia="Calibri" w:cs="Arial"/>
        </w:rPr>
        <w:t>’</w:t>
      </w:r>
      <w:r w:rsidRPr="002420CB">
        <w:rPr>
          <w:rFonts w:eastAsia="Calibri" w:cs="Arial"/>
        </w:rPr>
        <w:t xml:space="preserve"> protocols </w:t>
      </w:r>
      <w:r>
        <w:rPr>
          <w:rFonts w:eastAsia="Calibri" w:cs="Arial"/>
        </w:rPr>
        <w:t>introduced.</w:t>
      </w:r>
    </w:p>
    <w:p w:rsidR="00071B9F" w:rsidRDefault="00071B9F" w:rsidP="00071B9F">
      <w:pPr>
        <w:jc w:val="both"/>
        <w:rPr>
          <w:rFonts w:eastAsia="Calibri" w:cs="Arial"/>
        </w:rPr>
      </w:pPr>
    </w:p>
    <w:p w:rsidR="00071B9F" w:rsidRPr="007F55E0" w:rsidRDefault="00071B9F" w:rsidP="007F55E0">
      <w:pPr>
        <w:pStyle w:val="ListParagraph"/>
        <w:numPr>
          <w:ilvl w:val="0"/>
          <w:numId w:val="6"/>
        </w:numPr>
        <w:ind w:left="426" w:hanging="426"/>
        <w:jc w:val="both"/>
        <w:rPr>
          <w:rFonts w:eastAsia="Calibri"/>
        </w:rPr>
      </w:pPr>
      <w:r w:rsidRPr="007F55E0">
        <w:rPr>
          <w:rFonts w:eastAsia="Calibri"/>
        </w:rPr>
        <w:t>The plan is now submitted to CEB for approval prior to public consultation. Following the public consultation any matters raised will be considered and reviewed and the plan modified if and where appropriate.</w:t>
      </w:r>
    </w:p>
    <w:p w:rsidR="00071B9F" w:rsidRDefault="00071B9F" w:rsidP="00071B9F">
      <w:pPr>
        <w:jc w:val="both"/>
        <w:rPr>
          <w:rFonts w:eastAsia="Calibri" w:cs="Arial"/>
        </w:rPr>
      </w:pPr>
    </w:p>
    <w:p w:rsidR="00071B9F" w:rsidRPr="007F55E0" w:rsidRDefault="00071B9F" w:rsidP="007F55E0">
      <w:pPr>
        <w:pStyle w:val="ListParagraph"/>
        <w:numPr>
          <w:ilvl w:val="0"/>
          <w:numId w:val="6"/>
        </w:numPr>
        <w:ind w:left="426" w:hanging="426"/>
        <w:jc w:val="both"/>
        <w:rPr>
          <w:bCs/>
        </w:rPr>
      </w:pPr>
      <w:r w:rsidRPr="007F55E0">
        <w:rPr>
          <w:rFonts w:eastAsia="Calibri"/>
        </w:rPr>
        <w:t>Following such consultation and review the plan will be bought back to CEB for final approval and submission to Full Council for adoption.</w:t>
      </w:r>
    </w:p>
    <w:p w:rsidR="00071B9F" w:rsidRDefault="00071B9F">
      <w:pPr>
        <w:rPr>
          <w:rFonts w:cs="Arial"/>
          <w:b/>
        </w:rPr>
      </w:pPr>
    </w:p>
    <w:p w:rsidR="007B6E54" w:rsidRDefault="007B6E54">
      <w:pPr>
        <w:rPr>
          <w:rFonts w:cs="Arial"/>
          <w:b/>
        </w:rPr>
      </w:pPr>
      <w:r w:rsidRPr="007B6E54">
        <w:rPr>
          <w:rFonts w:cs="Arial"/>
          <w:b/>
        </w:rPr>
        <w:t>Legal Issues</w:t>
      </w:r>
    </w:p>
    <w:p w:rsidR="007F55E0" w:rsidRDefault="007F55E0">
      <w:pPr>
        <w:rPr>
          <w:rFonts w:cs="Arial"/>
          <w:b/>
        </w:rPr>
      </w:pPr>
    </w:p>
    <w:p w:rsidR="00071B9F" w:rsidRPr="007F55E0" w:rsidRDefault="00071B9F" w:rsidP="007F55E0">
      <w:pPr>
        <w:pStyle w:val="ListParagraph"/>
        <w:numPr>
          <w:ilvl w:val="0"/>
          <w:numId w:val="6"/>
        </w:numPr>
        <w:ind w:left="426" w:hanging="426"/>
      </w:pPr>
      <w:r w:rsidRPr="007F55E0">
        <w:t>There are no direct legal implications arising out of this report.</w:t>
      </w:r>
    </w:p>
    <w:p w:rsidR="007B6E54" w:rsidRDefault="007B6E54">
      <w:pPr>
        <w:rPr>
          <w:rFonts w:cs="Arial"/>
          <w:i/>
        </w:rPr>
      </w:pPr>
    </w:p>
    <w:p w:rsidR="007B6E54" w:rsidRDefault="007B6E54">
      <w:pPr>
        <w:rPr>
          <w:rFonts w:cs="Arial"/>
          <w:b/>
        </w:rPr>
      </w:pPr>
      <w:r w:rsidRPr="007B6E54">
        <w:rPr>
          <w:rFonts w:cs="Arial"/>
          <w:b/>
        </w:rPr>
        <w:t>Financial Issues</w:t>
      </w:r>
    </w:p>
    <w:p w:rsidR="00071B9F" w:rsidRDefault="00071B9F" w:rsidP="007F55E0">
      <w:pPr>
        <w:ind w:left="426" w:hanging="426"/>
        <w:rPr>
          <w:rFonts w:cs="Arial"/>
          <w:b/>
        </w:rPr>
      </w:pPr>
    </w:p>
    <w:p w:rsidR="00071B9F" w:rsidRPr="007F55E0" w:rsidRDefault="00071B9F" w:rsidP="007F55E0">
      <w:pPr>
        <w:pStyle w:val="ListParagraph"/>
        <w:numPr>
          <w:ilvl w:val="0"/>
          <w:numId w:val="6"/>
        </w:numPr>
        <w:ind w:left="426" w:hanging="426"/>
      </w:pPr>
      <w:r w:rsidRPr="007F55E0">
        <w:t>There are no specific financial implications arising from the Asset Management Plan 2016-20 which has adopted current agreed budgets.</w:t>
      </w:r>
    </w:p>
    <w:p w:rsidR="00071B9F" w:rsidRDefault="00071B9F" w:rsidP="007F55E0">
      <w:pPr>
        <w:ind w:left="426" w:hanging="426"/>
        <w:rPr>
          <w:rFonts w:cs="Arial"/>
        </w:rPr>
      </w:pPr>
    </w:p>
    <w:p w:rsidR="00071B9F" w:rsidRPr="007F55E0" w:rsidRDefault="00071B9F" w:rsidP="007F55E0">
      <w:pPr>
        <w:pStyle w:val="ListParagraph"/>
        <w:numPr>
          <w:ilvl w:val="0"/>
          <w:numId w:val="6"/>
        </w:numPr>
        <w:ind w:left="426" w:hanging="426"/>
      </w:pPr>
      <w:r w:rsidRPr="007F55E0">
        <w:t>Any future changes will be subject to appropriate approval processes that apply to any budget proposals.</w:t>
      </w:r>
    </w:p>
    <w:p w:rsidR="0032698C" w:rsidRDefault="0032698C" w:rsidP="007F55E0">
      <w:pPr>
        <w:ind w:left="426" w:hanging="426"/>
        <w:rPr>
          <w:rFonts w:cs="Arial"/>
          <w:b/>
        </w:rPr>
      </w:pPr>
    </w:p>
    <w:p w:rsidR="007B6E54" w:rsidRDefault="007B6E54" w:rsidP="007F55E0">
      <w:pPr>
        <w:ind w:left="426" w:hanging="426"/>
        <w:rPr>
          <w:rFonts w:cs="Arial"/>
          <w:b/>
        </w:rPr>
      </w:pPr>
      <w:r>
        <w:rPr>
          <w:rFonts w:cs="Arial"/>
          <w:b/>
        </w:rPr>
        <w:t>Environmental Impact</w:t>
      </w:r>
    </w:p>
    <w:p w:rsidR="00B72652" w:rsidRDefault="00B72652" w:rsidP="007F55E0">
      <w:pPr>
        <w:ind w:left="426" w:hanging="426"/>
        <w:rPr>
          <w:rFonts w:cs="Arial"/>
          <w:b/>
        </w:rPr>
      </w:pPr>
    </w:p>
    <w:p w:rsidR="00B72652" w:rsidRPr="007F55E0" w:rsidRDefault="00B72652" w:rsidP="007F55E0">
      <w:pPr>
        <w:pStyle w:val="ListParagraph"/>
        <w:numPr>
          <w:ilvl w:val="0"/>
          <w:numId w:val="6"/>
        </w:numPr>
        <w:ind w:left="426" w:hanging="426"/>
      </w:pPr>
      <w:r w:rsidRPr="007F55E0">
        <w:t>The AMP reiterates the Council’s policies on environmental matters and relates them specifically to property.</w:t>
      </w:r>
    </w:p>
    <w:p w:rsidR="00B72652" w:rsidRDefault="00B72652" w:rsidP="007F55E0">
      <w:pPr>
        <w:ind w:left="426" w:hanging="426"/>
        <w:rPr>
          <w:rFonts w:cs="Arial"/>
          <w:b/>
        </w:rPr>
      </w:pPr>
    </w:p>
    <w:p w:rsidR="00B72652" w:rsidRDefault="007B6E54" w:rsidP="007F55E0">
      <w:pPr>
        <w:ind w:left="426" w:hanging="426"/>
        <w:rPr>
          <w:rFonts w:cs="Arial"/>
          <w:b/>
        </w:rPr>
      </w:pPr>
      <w:r>
        <w:rPr>
          <w:rFonts w:cs="Arial"/>
          <w:b/>
        </w:rPr>
        <w:t xml:space="preserve">Level of Risk </w:t>
      </w:r>
    </w:p>
    <w:p w:rsidR="00B72652" w:rsidRDefault="00B72652" w:rsidP="007F55E0">
      <w:pPr>
        <w:ind w:left="426" w:hanging="426"/>
        <w:rPr>
          <w:rFonts w:cs="Arial"/>
          <w:b/>
        </w:rPr>
      </w:pPr>
    </w:p>
    <w:p w:rsidR="007B6E54" w:rsidRPr="007F55E0" w:rsidRDefault="00B72652" w:rsidP="007F55E0">
      <w:pPr>
        <w:pStyle w:val="ListParagraph"/>
        <w:numPr>
          <w:ilvl w:val="0"/>
          <w:numId w:val="6"/>
        </w:numPr>
        <w:ind w:left="426" w:hanging="426"/>
      </w:pPr>
      <w:r w:rsidRPr="007F55E0">
        <w:t xml:space="preserve">Risk is considered Low and </w:t>
      </w:r>
      <w:r w:rsidR="0032698C" w:rsidRPr="007F55E0">
        <w:t xml:space="preserve">full </w:t>
      </w:r>
      <w:r w:rsidRPr="007F55E0">
        <w:t xml:space="preserve">a Risk Register is </w:t>
      </w:r>
      <w:r w:rsidR="009E6D02" w:rsidRPr="007F55E0">
        <w:t>contained within the Asset Management Plan</w:t>
      </w:r>
      <w:r w:rsidR="00B66615">
        <w:t>.</w:t>
      </w:r>
    </w:p>
    <w:p w:rsidR="009E6D02" w:rsidRPr="007B6E54" w:rsidRDefault="009E6D02" w:rsidP="007F55E0">
      <w:pPr>
        <w:ind w:left="426" w:hanging="426"/>
        <w:rPr>
          <w:rFonts w:cs="Arial"/>
          <w:b/>
        </w:rPr>
      </w:pPr>
    </w:p>
    <w:p w:rsidR="00F4367A" w:rsidRDefault="007B6E54" w:rsidP="007F55E0">
      <w:pPr>
        <w:ind w:left="426" w:hanging="426"/>
        <w:rPr>
          <w:rFonts w:cs="Arial"/>
          <w:i/>
        </w:rPr>
      </w:pPr>
      <w:r w:rsidRPr="007B6E54">
        <w:rPr>
          <w:rFonts w:cs="Arial"/>
          <w:b/>
        </w:rPr>
        <w:t>Equalities Impact</w:t>
      </w:r>
      <w:r w:rsidR="00B72652">
        <w:rPr>
          <w:rFonts w:cs="Arial"/>
          <w:i/>
        </w:rPr>
        <w:t xml:space="preserve"> </w:t>
      </w:r>
    </w:p>
    <w:p w:rsidR="00B72652" w:rsidRDefault="00B72652" w:rsidP="007F55E0">
      <w:pPr>
        <w:ind w:left="426" w:hanging="426"/>
        <w:rPr>
          <w:rFonts w:cs="Arial"/>
          <w:i/>
        </w:rPr>
      </w:pPr>
    </w:p>
    <w:p w:rsidR="00B72652" w:rsidRPr="007F55E0" w:rsidRDefault="00B72652" w:rsidP="007F55E0">
      <w:pPr>
        <w:pStyle w:val="ListParagraph"/>
        <w:numPr>
          <w:ilvl w:val="0"/>
          <w:numId w:val="6"/>
        </w:numPr>
        <w:ind w:left="426" w:hanging="426"/>
      </w:pPr>
      <w:r w:rsidRPr="007F55E0">
        <w:t>There is considered no risk in this area and the plan incorporates the Councils Policies on Equality and diversity specifically in the Asset Management Protocols appended to the plan.</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A83701">
              <w:t xml:space="preserve"> Mike W Scott</w:t>
            </w:r>
          </w:p>
        </w:tc>
      </w:tr>
      <w:tr w:rsidR="00713675">
        <w:tc>
          <w:tcPr>
            <w:tcW w:w="8522" w:type="dxa"/>
          </w:tcPr>
          <w:p w:rsidR="00713675" w:rsidRDefault="00713675" w:rsidP="00855C66">
            <w:pPr>
              <w:tabs>
                <w:tab w:val="left" w:pos="720"/>
                <w:tab w:val="left" w:pos="1440"/>
                <w:tab w:val="left" w:pos="2160"/>
                <w:tab w:val="left" w:pos="2880"/>
              </w:tabs>
            </w:pPr>
            <w:r>
              <w:t>Job title</w:t>
            </w:r>
            <w:r w:rsidR="00A83701">
              <w:t xml:space="preserve"> Senior Asset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A83701">
              <w:t>: Regeneration and Major Projects</w:t>
            </w:r>
          </w:p>
        </w:tc>
      </w:tr>
      <w:tr w:rsidR="00713675">
        <w:tc>
          <w:tcPr>
            <w:tcW w:w="8522" w:type="dxa"/>
          </w:tcPr>
          <w:p w:rsidR="00713675" w:rsidRDefault="00713675" w:rsidP="00A83701">
            <w:pPr>
              <w:tabs>
                <w:tab w:val="left" w:pos="720"/>
                <w:tab w:val="left" w:pos="1440"/>
                <w:tab w:val="left" w:pos="2160"/>
                <w:tab w:val="left" w:pos="2880"/>
              </w:tabs>
              <w:rPr>
                <w:color w:val="0000FF"/>
                <w:u w:val="single"/>
              </w:rPr>
            </w:pPr>
            <w:r>
              <w:t xml:space="preserve">Tel:  01865 </w:t>
            </w:r>
            <w:r w:rsidR="00A83701">
              <w:t xml:space="preserve">252138 </w:t>
            </w:r>
            <w:r>
              <w:t xml:space="preserve">  e-mail:  </w:t>
            </w:r>
            <w:r w:rsidR="00A83701">
              <w:t>mwscott@oxford.gov.uk</w:t>
            </w:r>
          </w:p>
        </w:tc>
      </w:tr>
    </w:tbl>
    <w:p w:rsidR="00F4367A" w:rsidRDefault="00F4367A">
      <w:pPr>
        <w:rPr>
          <w:rFonts w:cs="Arial"/>
          <w:b/>
          <w:bCs/>
          <w:sz w:val="20"/>
        </w:rPr>
      </w:pPr>
    </w:p>
    <w:p w:rsidR="00623C2F" w:rsidRPr="00623C2F" w:rsidRDefault="00F4367A">
      <w:pPr>
        <w:rPr>
          <w:rFonts w:cs="Arial"/>
          <w:bCs/>
          <w:i/>
        </w:rPr>
      </w:pPr>
      <w:r>
        <w:rPr>
          <w:rFonts w:cs="Arial"/>
          <w:b/>
          <w:bCs/>
        </w:rPr>
        <w:t xml:space="preserve">List of background papers: </w:t>
      </w:r>
      <w:r w:rsidR="00B72652">
        <w:rPr>
          <w:rFonts w:cs="Arial"/>
          <w:b/>
          <w:bCs/>
        </w:rPr>
        <w:t>None</w:t>
      </w:r>
    </w:p>
    <w:p w:rsidR="00F4367A" w:rsidRDefault="00F4367A">
      <w:pPr>
        <w:rPr>
          <w:b/>
          <w:bCs/>
        </w:rPr>
      </w:pPr>
    </w:p>
    <w:p w:rsidR="007B6E54" w:rsidRDefault="007B6E54">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02" w:rsidRDefault="009E6D02">
      <w:r>
        <w:separator/>
      </w:r>
    </w:p>
  </w:endnote>
  <w:endnote w:type="continuationSeparator" w:id="0">
    <w:p w:rsidR="009E6D02" w:rsidRDefault="009E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02" w:rsidRDefault="009E6D02">
      <w:r>
        <w:separator/>
      </w:r>
    </w:p>
  </w:footnote>
  <w:footnote w:type="continuationSeparator" w:id="0">
    <w:p w:rsidR="009E6D02" w:rsidRDefault="009E6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5D5"/>
    <w:multiLevelType w:val="multilevel"/>
    <w:tmpl w:val="BE30D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0C4F6D"/>
    <w:multiLevelType w:val="hybridMultilevel"/>
    <w:tmpl w:val="9AA2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9640DD"/>
    <w:multiLevelType w:val="hybridMultilevel"/>
    <w:tmpl w:val="5324F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C5535"/>
    <w:multiLevelType w:val="hybridMultilevel"/>
    <w:tmpl w:val="8FEE45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7535E46"/>
    <w:multiLevelType w:val="hybridMultilevel"/>
    <w:tmpl w:val="C0FA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38031B"/>
    <w:multiLevelType w:val="hybridMultilevel"/>
    <w:tmpl w:val="AF9A3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FE173AA"/>
    <w:multiLevelType w:val="hybridMultilevel"/>
    <w:tmpl w:val="3D149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FD610A"/>
    <w:multiLevelType w:val="hybridMultilevel"/>
    <w:tmpl w:val="E286EE2C"/>
    <w:lvl w:ilvl="0" w:tplc="04101176">
      <w:start w:val="1"/>
      <w:numFmt w:val="bullet"/>
      <w:lvlText w:val="•"/>
      <w:lvlJc w:val="left"/>
      <w:pPr>
        <w:tabs>
          <w:tab w:val="num" w:pos="720"/>
        </w:tabs>
        <w:ind w:left="720" w:hanging="360"/>
      </w:pPr>
      <w:rPr>
        <w:rFonts w:ascii="Arial" w:hAnsi="Arial" w:hint="default"/>
      </w:rPr>
    </w:lvl>
    <w:lvl w:ilvl="1" w:tplc="B9B4D6AA">
      <w:start w:val="1"/>
      <w:numFmt w:val="bullet"/>
      <w:lvlText w:val="•"/>
      <w:lvlJc w:val="left"/>
      <w:pPr>
        <w:tabs>
          <w:tab w:val="num" w:pos="1440"/>
        </w:tabs>
        <w:ind w:left="1440" w:hanging="360"/>
      </w:pPr>
      <w:rPr>
        <w:rFonts w:ascii="Arial" w:hAnsi="Arial" w:hint="default"/>
        <w:sz w:val="32"/>
        <w:szCs w:val="32"/>
      </w:rPr>
    </w:lvl>
    <w:lvl w:ilvl="2" w:tplc="B66853FC">
      <w:start w:val="1"/>
      <w:numFmt w:val="bullet"/>
      <w:lvlText w:val="•"/>
      <w:lvlJc w:val="left"/>
      <w:pPr>
        <w:tabs>
          <w:tab w:val="num" w:pos="2160"/>
        </w:tabs>
        <w:ind w:left="2160" w:hanging="360"/>
      </w:pPr>
      <w:rPr>
        <w:rFonts w:ascii="Arial" w:hAnsi="Arial" w:hint="default"/>
      </w:rPr>
    </w:lvl>
    <w:lvl w:ilvl="3" w:tplc="7DC2E382" w:tentative="1">
      <w:start w:val="1"/>
      <w:numFmt w:val="bullet"/>
      <w:lvlText w:val="•"/>
      <w:lvlJc w:val="left"/>
      <w:pPr>
        <w:tabs>
          <w:tab w:val="num" w:pos="2880"/>
        </w:tabs>
        <w:ind w:left="2880" w:hanging="360"/>
      </w:pPr>
      <w:rPr>
        <w:rFonts w:ascii="Arial" w:hAnsi="Arial" w:hint="default"/>
      </w:rPr>
    </w:lvl>
    <w:lvl w:ilvl="4" w:tplc="7AFC7540" w:tentative="1">
      <w:start w:val="1"/>
      <w:numFmt w:val="bullet"/>
      <w:lvlText w:val="•"/>
      <w:lvlJc w:val="left"/>
      <w:pPr>
        <w:tabs>
          <w:tab w:val="num" w:pos="3600"/>
        </w:tabs>
        <w:ind w:left="3600" w:hanging="360"/>
      </w:pPr>
      <w:rPr>
        <w:rFonts w:ascii="Arial" w:hAnsi="Arial" w:hint="default"/>
      </w:rPr>
    </w:lvl>
    <w:lvl w:ilvl="5" w:tplc="B9800EC6" w:tentative="1">
      <w:start w:val="1"/>
      <w:numFmt w:val="bullet"/>
      <w:lvlText w:val="•"/>
      <w:lvlJc w:val="left"/>
      <w:pPr>
        <w:tabs>
          <w:tab w:val="num" w:pos="4320"/>
        </w:tabs>
        <w:ind w:left="4320" w:hanging="360"/>
      </w:pPr>
      <w:rPr>
        <w:rFonts w:ascii="Arial" w:hAnsi="Arial" w:hint="default"/>
      </w:rPr>
    </w:lvl>
    <w:lvl w:ilvl="6" w:tplc="376A4A04" w:tentative="1">
      <w:start w:val="1"/>
      <w:numFmt w:val="bullet"/>
      <w:lvlText w:val="•"/>
      <w:lvlJc w:val="left"/>
      <w:pPr>
        <w:tabs>
          <w:tab w:val="num" w:pos="5040"/>
        </w:tabs>
        <w:ind w:left="5040" w:hanging="360"/>
      </w:pPr>
      <w:rPr>
        <w:rFonts w:ascii="Arial" w:hAnsi="Arial" w:hint="default"/>
      </w:rPr>
    </w:lvl>
    <w:lvl w:ilvl="7" w:tplc="FF54F84E" w:tentative="1">
      <w:start w:val="1"/>
      <w:numFmt w:val="bullet"/>
      <w:lvlText w:val="•"/>
      <w:lvlJc w:val="left"/>
      <w:pPr>
        <w:tabs>
          <w:tab w:val="num" w:pos="5760"/>
        </w:tabs>
        <w:ind w:left="5760" w:hanging="360"/>
      </w:pPr>
      <w:rPr>
        <w:rFonts w:ascii="Arial" w:hAnsi="Arial" w:hint="default"/>
      </w:rPr>
    </w:lvl>
    <w:lvl w:ilvl="8" w:tplc="7B725D3E" w:tentative="1">
      <w:start w:val="1"/>
      <w:numFmt w:val="bullet"/>
      <w:lvlText w:val="•"/>
      <w:lvlJc w:val="left"/>
      <w:pPr>
        <w:tabs>
          <w:tab w:val="num" w:pos="6480"/>
        </w:tabs>
        <w:ind w:left="6480" w:hanging="360"/>
      </w:pPr>
      <w:rPr>
        <w:rFonts w:ascii="Arial" w:hAnsi="Arial" w:hint="default"/>
      </w:rPr>
    </w:lvl>
  </w:abstractNum>
  <w:abstractNum w:abstractNumId="9">
    <w:nsid w:val="706112EE"/>
    <w:multiLevelType w:val="hybridMultilevel"/>
    <w:tmpl w:val="BEA656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8"/>
  </w:num>
  <w:num w:numId="6">
    <w:abstractNumId w:val="1"/>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71B9F"/>
    <w:rsid w:val="000C3928"/>
    <w:rsid w:val="0032698C"/>
    <w:rsid w:val="00416788"/>
    <w:rsid w:val="00465EAF"/>
    <w:rsid w:val="0052634D"/>
    <w:rsid w:val="00623C2F"/>
    <w:rsid w:val="006E3B55"/>
    <w:rsid w:val="006F0665"/>
    <w:rsid w:val="006F416B"/>
    <w:rsid w:val="00713675"/>
    <w:rsid w:val="007B6E54"/>
    <w:rsid w:val="007F55E0"/>
    <w:rsid w:val="00817CBB"/>
    <w:rsid w:val="00855C66"/>
    <w:rsid w:val="008D3DDB"/>
    <w:rsid w:val="00971689"/>
    <w:rsid w:val="00973E90"/>
    <w:rsid w:val="009E6D02"/>
    <w:rsid w:val="00A83701"/>
    <w:rsid w:val="00A92D8F"/>
    <w:rsid w:val="00AD3292"/>
    <w:rsid w:val="00AE5AB8"/>
    <w:rsid w:val="00B66615"/>
    <w:rsid w:val="00B72652"/>
    <w:rsid w:val="00C2692F"/>
    <w:rsid w:val="00CC3662"/>
    <w:rsid w:val="00E01F42"/>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71B9F"/>
    <w:pPr>
      <w:ind w:left="7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71B9F"/>
    <w:p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A617C93F</Template>
  <TotalTime>0</TotalTime>
  <Pages>4</Pages>
  <Words>747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2</cp:revision>
  <cp:lastPrinted>2010-10-15T09:32:00Z</cp:lastPrinted>
  <dcterms:created xsi:type="dcterms:W3CDTF">2015-12-08T10:07:00Z</dcterms:created>
  <dcterms:modified xsi:type="dcterms:W3CDTF">2015-12-08T10:07:00Z</dcterms:modified>
</cp:coreProperties>
</file>